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43" w:rsidRPr="003F00BE" w:rsidRDefault="00D83175" w:rsidP="00AF0F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0BE">
        <w:rPr>
          <w:rFonts w:ascii="Times New Roman" w:hAnsi="Times New Roman" w:cs="Times New Roman"/>
          <w:sz w:val="24"/>
          <w:szCs w:val="24"/>
        </w:rPr>
        <w:t>ANALIZA MOGUĆNOSTI ZAPOŠLJAVANJA OSOBA SA INVALIDITETOM</w:t>
      </w:r>
    </w:p>
    <w:p w:rsidR="00D83175" w:rsidRPr="003F00BE" w:rsidRDefault="00D83175" w:rsidP="003F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75" w:rsidRPr="003F00BE" w:rsidRDefault="00D83175" w:rsidP="003F00BE">
      <w:pPr>
        <w:jc w:val="both"/>
        <w:rPr>
          <w:rFonts w:ascii="Times New Roman" w:hAnsi="Times New Roman" w:cs="Times New Roman"/>
          <w:sz w:val="24"/>
          <w:szCs w:val="24"/>
        </w:rPr>
      </w:pPr>
      <w:r w:rsidRPr="003F00BE">
        <w:rPr>
          <w:rFonts w:ascii="Times New Roman" w:hAnsi="Times New Roman" w:cs="Times New Roman"/>
          <w:sz w:val="24"/>
          <w:szCs w:val="24"/>
        </w:rPr>
        <w:t>Prema Zakonu o profesionalnoj rehabilitaciji i zapošljavanju osoba sa invaliditetom, poslodavac koji ima od 20 do 50 zaposlenih, dužan je da zaposli 1 osobu sa invaliditetom, a poslodavac koji ima više od 50 zaposlenih dužan je da zaposli 5% osoba sa invalid</w:t>
      </w:r>
      <w:r w:rsidR="003F00BE">
        <w:rPr>
          <w:rFonts w:ascii="Times New Roman" w:hAnsi="Times New Roman" w:cs="Times New Roman"/>
          <w:sz w:val="24"/>
          <w:szCs w:val="24"/>
        </w:rPr>
        <w:t xml:space="preserve">itetom u odnosu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>. Ukoliko ne zapošljava osobe sa invaliditetom, dužan j</w:t>
      </w:r>
      <w:r w:rsidR="003F00BE">
        <w:rPr>
          <w:rFonts w:ascii="Times New Roman" w:hAnsi="Times New Roman" w:cs="Times New Roman"/>
          <w:sz w:val="24"/>
          <w:szCs w:val="24"/>
        </w:rPr>
        <w:t xml:space="preserve">e da plati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nezapošljavanje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OSI u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od 20% prosječne bruto plate u Crnoj Gori za  p</w:t>
      </w:r>
      <w:r w:rsidR="003F00BE">
        <w:rPr>
          <w:rFonts w:ascii="Times New Roman" w:hAnsi="Times New Roman" w:cs="Times New Roman"/>
          <w:sz w:val="24"/>
          <w:szCs w:val="24"/>
        </w:rPr>
        <w:t xml:space="preserve">rethodnu godinu, a što u 2017. </w:t>
      </w:r>
      <w:proofErr w:type="spellStart"/>
      <w:proofErr w:type="gramStart"/>
      <w:r w:rsidR="003F00BE">
        <w:rPr>
          <w:rFonts w:ascii="Times New Roman" w:hAnsi="Times New Roman" w:cs="Times New Roman"/>
          <w:sz w:val="24"/>
          <w:szCs w:val="24"/>
        </w:rPr>
        <w:t>g</w:t>
      </w:r>
      <w:r w:rsidRPr="003F00BE">
        <w:rPr>
          <w:rFonts w:ascii="Times New Roman" w:hAnsi="Times New Roman" w:cs="Times New Roman"/>
          <w:sz w:val="24"/>
          <w:szCs w:val="24"/>
        </w:rPr>
        <w:t>odini</w:t>
      </w:r>
      <w:proofErr w:type="spellEnd"/>
      <w:proofErr w:type="gram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150,00€ za svaku osobu koju bi morao d</w:t>
      </w:r>
      <w:r w:rsidR="003F00BE">
        <w:rPr>
          <w:rFonts w:ascii="Times New Roman" w:hAnsi="Times New Roman" w:cs="Times New Roman"/>
          <w:sz w:val="24"/>
          <w:szCs w:val="24"/>
        </w:rPr>
        <w:t xml:space="preserve">a zaposli, a nije je zaposlio.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naglasiti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da u slučaju da poslodavac zaposli osobu </w:t>
      </w:r>
      <w:proofErr w:type="gramStart"/>
      <w:r w:rsidRPr="003F00B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F00BE">
        <w:rPr>
          <w:rFonts w:ascii="Times New Roman" w:hAnsi="Times New Roman" w:cs="Times New Roman"/>
          <w:sz w:val="24"/>
          <w:szCs w:val="24"/>
        </w:rPr>
        <w:t xml:space="preserve"> teškim </w:t>
      </w:r>
      <w:r w:rsidR="003F00BE">
        <w:rPr>
          <w:rFonts w:ascii="Times New Roman" w:hAnsi="Times New Roman" w:cs="Times New Roman"/>
          <w:sz w:val="24"/>
          <w:szCs w:val="24"/>
        </w:rPr>
        <w:t xml:space="preserve">invaliditetom tj.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se kao da je zaposlio</w:t>
      </w:r>
      <w:r w:rsidR="003F00BE">
        <w:rPr>
          <w:rFonts w:ascii="Times New Roman" w:hAnsi="Times New Roman" w:cs="Times New Roman"/>
          <w:sz w:val="24"/>
          <w:szCs w:val="24"/>
        </w:rPr>
        <w:t xml:space="preserve"> 2 osobe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dov</w:t>
      </w:r>
      <w:r w:rsidR="003F00BE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umanjenja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BE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2 OSI, a što iznosi oko 300,00€. </w:t>
      </w:r>
      <w:r w:rsidR="007D1116" w:rsidRPr="003F00BE">
        <w:rPr>
          <w:rFonts w:ascii="Times New Roman" w:hAnsi="Times New Roman" w:cs="Times New Roman"/>
          <w:sz w:val="24"/>
          <w:szCs w:val="24"/>
        </w:rPr>
        <w:t xml:space="preserve">Osim toga, poslodavac koji zaposli osobu </w:t>
      </w:r>
      <w:proofErr w:type="gramStart"/>
      <w:r w:rsidR="007D1116" w:rsidRPr="003F00B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D1116" w:rsidRPr="003F00BE">
        <w:rPr>
          <w:rFonts w:ascii="Times New Roman" w:hAnsi="Times New Roman" w:cs="Times New Roman"/>
          <w:sz w:val="24"/>
          <w:szCs w:val="24"/>
        </w:rPr>
        <w:t xml:space="preserve"> invaliditetom ima pravo na subvenciju zarade u visini od 75% isplaćene bruto plate toj osobi, a koju mu Zavod za zapošljavanje refundira.  </w:t>
      </w:r>
    </w:p>
    <w:p w:rsidR="00D83175" w:rsidRPr="003F00BE" w:rsidRDefault="003F00BE" w:rsidP="003F00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pažljivu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16" w:rsidRPr="003F00BE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7D1116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16" w:rsidRPr="003F00BE">
        <w:rPr>
          <w:rFonts w:ascii="Times New Roman" w:hAnsi="Times New Roman" w:cs="Times New Roman"/>
          <w:sz w:val="24"/>
          <w:szCs w:val="24"/>
        </w:rPr>
        <w:t>efekata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D00" w:rsidRPr="003F00B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</w:t>
      </w:r>
      <w:r w:rsidR="00FE5D00" w:rsidRPr="003F00BE">
        <w:rPr>
          <w:rFonts w:ascii="Times New Roman" w:hAnsi="Times New Roman" w:cs="Times New Roman"/>
          <w:sz w:val="24"/>
          <w:szCs w:val="24"/>
        </w:rPr>
        <w:t>bn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isplativije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nego plaćati poseban doprinos. </w:t>
      </w:r>
      <w:proofErr w:type="gramStart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Osim toga, zapošljavanjem OSI poslodavac dobija jednog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, </w:t>
      </w:r>
      <w:r w:rsidR="003936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93607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39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39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36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3607" w:rsidRPr="003F00BE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3936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3607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="0039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7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37" w:rsidRPr="003F00BE" w:rsidRDefault="003F00BE" w:rsidP="003F0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potv</w:t>
      </w:r>
      <w:r>
        <w:rPr>
          <w:rFonts w:ascii="Times New Roman" w:hAnsi="Times New Roman" w:cs="Times New Roman"/>
          <w:sz w:val="24"/>
          <w:szCs w:val="24"/>
        </w:rPr>
        <w:t>rdili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dajemo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FE5D00"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D00" w:rsidRPr="003F00BE">
        <w:rPr>
          <w:rFonts w:ascii="Times New Roman" w:hAnsi="Times New Roman" w:cs="Times New Roman"/>
          <w:sz w:val="24"/>
          <w:szCs w:val="24"/>
        </w:rPr>
        <w:t>finansi</w:t>
      </w:r>
      <w:r>
        <w:rPr>
          <w:rFonts w:ascii="Times New Roman" w:hAnsi="Times New Roman" w:cs="Times New Roman"/>
          <w:sz w:val="24"/>
          <w:szCs w:val="24"/>
        </w:rPr>
        <w:t>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F37" w:rsidRPr="003F00BE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BA4F37" w:rsidRPr="003F00BE">
        <w:rPr>
          <w:rFonts w:ascii="Times New Roman" w:hAnsi="Times New Roman" w:cs="Times New Roman"/>
          <w:sz w:val="24"/>
          <w:szCs w:val="24"/>
        </w:rPr>
        <w:t xml:space="preserve"> OSI:</w:t>
      </w:r>
    </w:p>
    <w:p w:rsidR="00BA4F37" w:rsidRDefault="00BA4F37" w:rsidP="003F00BE">
      <w:pPr>
        <w:jc w:val="both"/>
        <w:rPr>
          <w:rFonts w:ascii="Times New Roman" w:hAnsi="Times New Roman" w:cs="Times New Roman"/>
          <w:sz w:val="24"/>
          <w:szCs w:val="24"/>
        </w:rPr>
      </w:pPr>
      <w:r w:rsidRPr="003F00BE">
        <w:rPr>
          <w:rFonts w:ascii="Times New Roman" w:hAnsi="Times New Roman" w:cs="Times New Roman"/>
          <w:sz w:val="24"/>
          <w:szCs w:val="24"/>
        </w:rPr>
        <w:t xml:space="preserve">Za poslodavca koji ima </w:t>
      </w:r>
      <w:proofErr w:type="gramStart"/>
      <w:r w:rsidRPr="003F00B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F00BE">
        <w:rPr>
          <w:rFonts w:ascii="Times New Roman" w:hAnsi="Times New Roman" w:cs="Times New Roman"/>
          <w:sz w:val="24"/>
          <w:szCs w:val="24"/>
        </w:rPr>
        <w:t xml:space="preserve"> 20 do 50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zaposlenih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03"/>
        <w:gridCol w:w="1703"/>
        <w:gridCol w:w="1489"/>
        <w:gridCol w:w="2022"/>
        <w:gridCol w:w="1523"/>
      </w:tblGrid>
      <w:tr w:rsidR="003F00BE" w:rsidTr="003F00BE">
        <w:tc>
          <w:tcPr>
            <w:tcW w:w="1136" w:type="dxa"/>
            <w:vAlign w:val="bottom"/>
          </w:tcPr>
          <w:p w:rsidR="003F00BE" w:rsidRPr="003F00BE" w:rsidRDefault="003F00BE" w:rsidP="00166D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1703" w:type="dxa"/>
          </w:tcPr>
          <w:p w:rsidR="003F00BE" w:rsidRDefault="003F00BE" w:rsidP="003F00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00BE" w:rsidRDefault="003F00BE" w:rsidP="003F00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00BE" w:rsidRDefault="003F00BE" w:rsidP="003F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poslodavca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plate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715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poslodavca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novčanom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iskazu</w:t>
            </w:r>
            <w:proofErr w:type="spellEnd"/>
          </w:p>
        </w:tc>
        <w:tc>
          <w:tcPr>
            <w:tcW w:w="1489" w:type="dxa"/>
            <w:vAlign w:val="bottom"/>
          </w:tcPr>
          <w:p w:rsidR="003F00BE" w:rsidRPr="003F00BE" w:rsidRDefault="003F00BE" w:rsidP="005F3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Iznos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posebnog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2022" w:type="dxa"/>
            <w:vAlign w:val="bottom"/>
          </w:tcPr>
          <w:p w:rsidR="003F00BE" w:rsidRPr="003F00BE" w:rsidRDefault="003F00BE" w:rsidP="00E01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Mjesečni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efekat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zapošljavanja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1523" w:type="dxa"/>
            <w:vAlign w:val="bottom"/>
          </w:tcPr>
          <w:p w:rsidR="003F00BE" w:rsidRPr="003F00BE" w:rsidRDefault="003F00BE" w:rsidP="007D2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Godišnji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efekat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zapošljavanja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164.19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170.28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191.56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498.66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218.92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68.92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827.04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246.29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96.29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1155.42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273.65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123.65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1483.80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301.02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151.02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1812.18</w:t>
            </w:r>
          </w:p>
        </w:tc>
      </w:tr>
      <w:tr w:rsidR="003F00BE" w:rsidTr="00872185">
        <w:tc>
          <w:tcPr>
            <w:tcW w:w="1136" w:type="dxa"/>
            <w:vAlign w:val="bottom"/>
          </w:tcPr>
          <w:p w:rsidR="003F00BE" w:rsidRPr="003F00BE" w:rsidRDefault="003F00BE" w:rsidP="00C84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0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328.38</w:t>
            </w:r>
          </w:p>
        </w:tc>
        <w:tc>
          <w:tcPr>
            <w:tcW w:w="1489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2022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178.38</w:t>
            </w:r>
          </w:p>
        </w:tc>
        <w:tc>
          <w:tcPr>
            <w:tcW w:w="1523" w:type="dxa"/>
            <w:vAlign w:val="bottom"/>
          </w:tcPr>
          <w:p w:rsidR="003F00BE" w:rsidRPr="003F00BE" w:rsidRDefault="003F00BE" w:rsidP="0092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2140.56</w:t>
            </w:r>
          </w:p>
        </w:tc>
      </w:tr>
    </w:tbl>
    <w:p w:rsidR="003F00BE" w:rsidRPr="003F00BE" w:rsidRDefault="003F00BE" w:rsidP="003F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37" w:rsidRDefault="00BA4F37" w:rsidP="003F00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0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više od 50 zaposlenih, a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zaposli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procentom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manjim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od 80%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tabela iznad, dok u slučaju zapošljavanja OSI sa teškim invaliditetom tj. </w:t>
      </w:r>
      <w:r w:rsidRPr="003F00BE">
        <w:rPr>
          <w:rFonts w:ascii="Times New Roman" w:hAnsi="Times New Roman" w:cs="Times New Roman"/>
          <w:sz w:val="24"/>
          <w:szCs w:val="24"/>
        </w:rPr>
        <w:lastRenderedPageBreak/>
        <w:t>OS</w:t>
      </w:r>
      <w:r w:rsidR="0014761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14761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4761B">
        <w:rPr>
          <w:rFonts w:ascii="Times New Roman" w:hAnsi="Times New Roman" w:cs="Times New Roman"/>
          <w:sz w:val="24"/>
          <w:szCs w:val="24"/>
        </w:rPr>
        <w:t xml:space="preserve"> više od 80%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poslodavcu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umanjuje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d</w:t>
      </w:r>
      <w:r w:rsidR="0014761B">
        <w:rPr>
          <w:rFonts w:ascii="Times New Roman" w:hAnsi="Times New Roman" w:cs="Times New Roman"/>
          <w:sz w:val="24"/>
          <w:szCs w:val="24"/>
        </w:rPr>
        <w:t>oprinos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2 OSI i tom slučaju je finansijski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efekat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653"/>
        <w:gridCol w:w="1653"/>
        <w:gridCol w:w="1440"/>
        <w:gridCol w:w="1962"/>
        <w:gridCol w:w="1962"/>
      </w:tblGrid>
      <w:tr w:rsidR="0014761B" w:rsidTr="0014761B">
        <w:tc>
          <w:tcPr>
            <w:tcW w:w="906" w:type="dxa"/>
            <w:vAlign w:val="bottom"/>
          </w:tcPr>
          <w:p w:rsidR="0014761B" w:rsidRPr="003F00BE" w:rsidRDefault="0014761B" w:rsidP="00A15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1653" w:type="dxa"/>
            <w:vAlign w:val="bottom"/>
          </w:tcPr>
          <w:p w:rsidR="0014761B" w:rsidRPr="003F00BE" w:rsidRDefault="0014761B" w:rsidP="00BB5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poslodavca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procentu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plate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2844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poslodavca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novčanom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iskazu</w:t>
            </w:r>
            <w:proofErr w:type="spellEnd"/>
          </w:p>
        </w:tc>
        <w:tc>
          <w:tcPr>
            <w:tcW w:w="1440" w:type="dxa"/>
            <w:vAlign w:val="bottom"/>
          </w:tcPr>
          <w:p w:rsidR="0014761B" w:rsidRPr="003F00BE" w:rsidRDefault="0014761B" w:rsidP="00DC40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Iznos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posebnog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1962" w:type="dxa"/>
            <w:vAlign w:val="bottom"/>
          </w:tcPr>
          <w:p w:rsidR="0014761B" w:rsidRPr="003F00BE" w:rsidRDefault="0014761B" w:rsidP="008758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Mjesečni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efekat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zapošljavanja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1962" w:type="dxa"/>
            <w:vAlign w:val="bottom"/>
          </w:tcPr>
          <w:p w:rsidR="0014761B" w:rsidRPr="003F00BE" w:rsidRDefault="0014761B" w:rsidP="007D2A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Godišnji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efekat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zapošljavanja</w:t>
            </w:r>
            <w:proofErr w:type="spellEnd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  <w:proofErr w:type="spellEnd"/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164.19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-135.81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-1629.72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191.56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-108.45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-1301.34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218.92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-81.08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-972.96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246.29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-53.72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-644.58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273.65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-26.35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-316.20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301.02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</w:tr>
      <w:tr w:rsidR="0014761B" w:rsidTr="00783A13">
        <w:tc>
          <w:tcPr>
            <w:tcW w:w="906" w:type="dxa"/>
            <w:vAlign w:val="bottom"/>
          </w:tcPr>
          <w:p w:rsidR="0014761B" w:rsidRPr="003F00BE" w:rsidRDefault="0014761B" w:rsidP="004118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53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328.38</w:t>
            </w:r>
          </w:p>
        </w:tc>
        <w:tc>
          <w:tcPr>
            <w:tcW w:w="1440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28.38</w:t>
            </w:r>
          </w:p>
        </w:tc>
        <w:tc>
          <w:tcPr>
            <w:tcW w:w="1962" w:type="dxa"/>
            <w:vAlign w:val="bottom"/>
          </w:tcPr>
          <w:p w:rsidR="0014761B" w:rsidRPr="003F00BE" w:rsidRDefault="0014761B" w:rsidP="001D0E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340.56</w:t>
            </w:r>
          </w:p>
        </w:tc>
      </w:tr>
    </w:tbl>
    <w:p w:rsidR="0014761B" w:rsidRDefault="0014761B" w:rsidP="003F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37" w:rsidRPr="003F00BE" w:rsidRDefault="00BA4F37" w:rsidP="003F00BE">
      <w:pPr>
        <w:jc w:val="both"/>
        <w:rPr>
          <w:rFonts w:ascii="Times New Roman" w:hAnsi="Times New Roman" w:cs="Times New Roman"/>
          <w:sz w:val="24"/>
          <w:szCs w:val="24"/>
        </w:rPr>
      </w:pPr>
      <w:r w:rsidRPr="003F00BE">
        <w:rPr>
          <w:rFonts w:ascii="Times New Roman" w:hAnsi="Times New Roman" w:cs="Times New Roman"/>
          <w:sz w:val="24"/>
          <w:szCs w:val="24"/>
        </w:rPr>
        <w:t>Ka</w:t>
      </w:r>
      <w:r w:rsidR="0014761B">
        <w:rPr>
          <w:rFonts w:ascii="Times New Roman" w:hAnsi="Times New Roman" w:cs="Times New Roman"/>
          <w:sz w:val="24"/>
          <w:szCs w:val="24"/>
        </w:rPr>
        <w:t xml:space="preserve">o što se može vidjeti, ukoliko </w:t>
      </w:r>
      <w:r w:rsidRPr="003F00BE">
        <w:rPr>
          <w:rFonts w:ascii="Times New Roman" w:hAnsi="Times New Roman" w:cs="Times New Roman"/>
          <w:sz w:val="24"/>
          <w:szCs w:val="24"/>
        </w:rPr>
        <w:t xml:space="preserve">bi poslodavci koji imaju od 20 do 50 zaposlenih umjesto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zaposlili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imali </w:t>
      </w:r>
      <w:r w:rsidR="008014DF" w:rsidRPr="003F00BE">
        <w:rPr>
          <w:rFonts w:ascii="Times New Roman" w:hAnsi="Times New Roman" w:cs="Times New Roman"/>
          <w:sz w:val="24"/>
          <w:szCs w:val="24"/>
        </w:rPr>
        <w:t xml:space="preserve">bi </w:t>
      </w:r>
      <w:r w:rsidRPr="003F00BE">
        <w:rPr>
          <w:rFonts w:ascii="Times New Roman" w:hAnsi="Times New Roman" w:cs="Times New Roman"/>
          <w:sz w:val="24"/>
          <w:szCs w:val="24"/>
        </w:rPr>
        <w:t>minimalan trošak u zavisnosti od visi</w:t>
      </w:r>
      <w:r w:rsidR="0014761B">
        <w:rPr>
          <w:rFonts w:ascii="Times New Roman" w:hAnsi="Times New Roman" w:cs="Times New Roman"/>
          <w:sz w:val="24"/>
          <w:szCs w:val="24"/>
        </w:rPr>
        <w:t xml:space="preserve">ne neto plate koju bi ta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dobijala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poslodavci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koji imaju više od 50 zaposlenih i zaposlili O</w:t>
      </w:r>
      <w:r w:rsidR="0014761B">
        <w:rPr>
          <w:rFonts w:ascii="Times New Roman" w:hAnsi="Times New Roman" w:cs="Times New Roman"/>
          <w:sz w:val="24"/>
          <w:szCs w:val="24"/>
        </w:rPr>
        <w:t xml:space="preserve">SI sa više od 80%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izdataka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1B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="00147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3F00BE">
        <w:rPr>
          <w:rFonts w:ascii="Times New Roman" w:hAnsi="Times New Roman" w:cs="Times New Roman"/>
          <w:sz w:val="24"/>
          <w:szCs w:val="24"/>
        </w:rPr>
        <w:t xml:space="preserve"> plata u iznosu od 550,00 odnosno 600,00 u kom slučaju bi imali beznačajno veći finansijski izdatak. </w:t>
      </w:r>
    </w:p>
    <w:sectPr w:rsidR="00BA4F37" w:rsidRPr="003F00BE" w:rsidSect="00294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4D" w:rsidRDefault="00A54E4D" w:rsidP="00D83175">
      <w:pPr>
        <w:spacing w:after="0" w:line="240" w:lineRule="auto"/>
      </w:pPr>
      <w:r>
        <w:separator/>
      </w:r>
    </w:p>
  </w:endnote>
  <w:endnote w:type="continuationSeparator" w:id="0">
    <w:p w:rsidR="00A54E4D" w:rsidRDefault="00A54E4D" w:rsidP="00D8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4D" w:rsidRDefault="00A54E4D" w:rsidP="00D83175">
      <w:pPr>
        <w:spacing w:after="0" w:line="240" w:lineRule="auto"/>
      </w:pPr>
      <w:r>
        <w:separator/>
      </w:r>
    </w:p>
  </w:footnote>
  <w:footnote w:type="continuationSeparator" w:id="0">
    <w:p w:rsidR="00A54E4D" w:rsidRDefault="00A54E4D" w:rsidP="00D8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5" w:rsidRDefault="00D83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5"/>
    <w:rsid w:val="000F62E9"/>
    <w:rsid w:val="00100B36"/>
    <w:rsid w:val="0014761B"/>
    <w:rsid w:val="00294543"/>
    <w:rsid w:val="00393607"/>
    <w:rsid w:val="003D65B7"/>
    <w:rsid w:val="003E40BD"/>
    <w:rsid w:val="003F00BE"/>
    <w:rsid w:val="005A3456"/>
    <w:rsid w:val="006553DE"/>
    <w:rsid w:val="006D78AB"/>
    <w:rsid w:val="00705078"/>
    <w:rsid w:val="007D1116"/>
    <w:rsid w:val="008014DF"/>
    <w:rsid w:val="00866249"/>
    <w:rsid w:val="009338EC"/>
    <w:rsid w:val="00A54E4D"/>
    <w:rsid w:val="00AF0F43"/>
    <w:rsid w:val="00BA4F37"/>
    <w:rsid w:val="00BE642C"/>
    <w:rsid w:val="00D83175"/>
    <w:rsid w:val="00F71953"/>
    <w:rsid w:val="00FE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75"/>
  </w:style>
  <w:style w:type="paragraph" w:styleId="Footer">
    <w:name w:val="footer"/>
    <w:basedOn w:val="Normal"/>
    <w:link w:val="FooterChar"/>
    <w:uiPriority w:val="99"/>
    <w:semiHidden/>
    <w:unhideWhenUsed/>
    <w:rsid w:val="00D83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75"/>
  </w:style>
  <w:style w:type="table" w:styleId="TableGrid">
    <w:name w:val="Table Grid"/>
    <w:basedOn w:val="TableNormal"/>
    <w:uiPriority w:val="59"/>
    <w:rsid w:val="003F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75"/>
  </w:style>
  <w:style w:type="paragraph" w:styleId="Footer">
    <w:name w:val="footer"/>
    <w:basedOn w:val="Normal"/>
    <w:link w:val="FooterChar"/>
    <w:uiPriority w:val="99"/>
    <w:semiHidden/>
    <w:unhideWhenUsed/>
    <w:rsid w:val="00D831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75"/>
  </w:style>
  <w:style w:type="table" w:styleId="TableGrid">
    <w:name w:val="Table Grid"/>
    <w:basedOn w:val="TableNormal"/>
    <w:uiPriority w:val="59"/>
    <w:rsid w:val="003F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My Name</cp:lastModifiedBy>
  <cp:revision>2</cp:revision>
  <dcterms:created xsi:type="dcterms:W3CDTF">2018-02-21T11:37:00Z</dcterms:created>
  <dcterms:modified xsi:type="dcterms:W3CDTF">2018-02-21T11:37:00Z</dcterms:modified>
</cp:coreProperties>
</file>